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Calibri" w:hAnsi="Calibri"/>
          <w:rFonts w:ascii="Calibri" w:hAnsi="Calibri" w:cs="Calibri"/>
          <w:b/>
          <w:i w:val="0"/>
          <w:color w:val="2C7A7B"/>
          <w:sz w:val="22"/>
          <w:caps w:val="true"/>
          <w:spacing w:val="40"/>
        </w:rPr>
        <w:t>Companion Implementation Kit  ·  Law 8</w:t>
      </w:r>
    </w:p>
    <w:p>
      <w:pPr>
        <w:spacing w:after="40"/>
      </w:pPr>
      <w:r>
        <w:rPr>
          <w:rFonts w:ascii="Georgia" w:hAnsi="Georgia"/>
          <w:rFonts w:ascii="Georgia" w:hAnsi="Georgia" w:cs="Georgia"/>
          <w:b/>
          <w:i w:val="0"/>
          <w:color w:val="1F3A5F"/>
          <w:sz w:val="54"/>
        </w:rPr>
        <w:t>Discharge-by-Noon Implementation Kit</w:t>
      </w:r>
    </w:p>
    <w:p>
      <w:pPr>
        <w:spacing w:after="160"/>
        <w:pBdr>
          <w:bottom w:val="single" w:sz="14" w:space="8" w:color="1F3A5F"/>
        </w:pBdr>
      </w:pPr>
      <w:r>
        <w:rPr>
          <w:rFonts w:ascii="Calibri" w:hAnsi="Calibri"/>
          <w:rFonts w:ascii="Calibri" w:hAnsi="Calibri" w:cs="Calibri"/>
          <w:b w:val="0"/>
          <w:i/>
          <w:color w:val="5A636E"/>
          <w:sz w:val="26"/>
        </w:rPr>
        <w:t>A leader's field guide to raising exit velocity and unblocking the hospital</w:t>
      </w:r>
    </w:p>
    <w:p>
      <w:pPr>
        <w:shd w:val="clear" w:color="auto" w:fill="E2F0F0"/>
        <w:spacing w:before="120" w:after="240"/>
        <w:ind w:left="200" w:right="200"/>
      </w:pPr>
      <w:r>
        <w:rPr>
          <w:rFonts w:ascii="Calibri" w:hAnsi="Calibri"/>
          <w:rFonts w:ascii="Calibri" w:hAnsi="Calibri" w:cs="Calibri"/>
          <w:b w:val="0"/>
          <w:i/>
          <w:color w:val="1F3A5F"/>
          <w:sz w:val="21"/>
        </w:rPr>
        <w:t>Hospitals rarely run out of beds; they run out of discharges. This kit turns Chapter 8 — The Discharge Bottleneck into a working playbook: the physics, a step-by-step morning routine, a RACI, a one-page daily checklist, and the handful of metrics that tell you whether the exit is actually moving.</w:t>
      </w:r>
    </w:p>
    <w:p>
      <w:pPr>
        <w:keepNext/>
        <w:spacing w:before="320" w:after="80"/>
        <w:pBdr>
          <w:bottom w:val="single" w:sz="6" w:space="3" w:color="1F3A5F"/>
        </w:pBdr>
      </w:pPr>
      <w:r>
        <w:rPr>
          <w:rFonts w:ascii="Georgia" w:hAnsi="Georgia"/>
          <w:rFonts w:ascii="Georgia" w:hAnsi="Georgia" w:cs="Georgia"/>
          <w:b/>
          <w:i w:val="0"/>
          <w:color w:val="2C7A7B"/>
          <w:sz w:val="30"/>
        </w:rPr>
        <w:t xml:space="preserve">1  </w:t>
      </w:r>
      <w:r>
        <w:rPr>
          <w:rFonts w:ascii="Georgia" w:hAnsi="Georgia"/>
          <w:rFonts w:ascii="Georgia" w:hAnsi="Georgia" w:cs="Georgia"/>
          <w:b/>
          <w:i w:val="0"/>
          <w:color w:val="1F3A5F"/>
          <w:sz w:val="30"/>
        </w:rPr>
        <w:t>Why This Matters — The Physics</w:t>
      </w:r>
    </w:p>
    <w:p>
      <w:pPr>
        <w:spacing w:after="120" w:line="274" w:lineRule="auto"/>
      </w:pPr>
      <w:r>
        <w:rPr>
          <w:rFonts w:ascii="Calibri" w:hAnsi="Calibri"/>
          <w:rFonts w:ascii="Calibri" w:hAnsi="Calibri" w:cs="Calibri"/>
          <w:b w:val="0"/>
          <w:i w:val="0"/>
          <w:color w:val="222830"/>
          <w:sz w:val="21"/>
        </w:rPr>
        <w:t>Effective capacity is governed by exit velocity — the speed at which medically cleared patients become empty beds — not by admission volume. A patient who cannot leave is not merely waiting; they are blocking the next patient from getting in. In a saturated hospital, every delayed discharge is, in effect, a hand on the throat of the emergency department.</w:t>
      </w:r>
    </w:p>
    <w:p>
      <w:pPr>
        <w:spacing w:after="120" w:line="274" w:lineRule="auto"/>
      </w:pPr>
      <w:r>
        <w:rPr>
          <w:rFonts w:ascii="Calibri" w:hAnsi="Calibri"/>
          <w:rFonts w:ascii="Calibri" w:hAnsi="Calibri" w:cs="Calibri"/>
          <w:b w:val="0"/>
          <w:i w:val="0"/>
          <w:color w:val="222830"/>
          <w:sz w:val="21"/>
        </w:rPr>
        <w:t>The relationship between occupancy and delay is not a straight line. As a unit approaches 100% occupancy, wait time rises along a steep, convex curve: each blocked exit pushes the whole system further up the steep part, where small losses of capacity produce large, non-linear increases in delay. Near saturation, one stuck bed does not subtract one unit of capacity — it multiplies the wait for everyone behind it. This is why a few stalled discharges matter so much, and why the faster path to capacity is usually to clear the end of the system rather than squeeze its middle.</w:t>
      </w:r>
    </w:p>
    <w:p>
      <w:pPr>
        <w:keepNext/>
        <w:spacing w:before="220" w:after="60"/>
      </w:pPr>
      <w:r>
        <w:rPr>
          <w:rFonts w:ascii="Calibri" w:hAnsi="Calibri"/>
          <w:rFonts w:ascii="Calibri" w:hAnsi="Calibri" w:cs="Calibri"/>
          <w:b/>
          <w:i w:val="0"/>
          <w:color w:val="2C7A7B"/>
          <w:sz w:val="24"/>
        </w:rPr>
        <w:t>What the evidence associates with a blocked exit</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val="0"/>
          <w:i w:val="0"/>
          <w:color w:val="222830"/>
          <w:sz w:val="21"/>
        </w:rPr>
        <w:t>Emergency-department crowding is driven chiefly by output failure — the inability to move admitted patients to inpatient beds — not by input volume (Asplin et al., 2003). Crowding is a hospital-wide throughput problem, not an ED staffing problem.</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val="0"/>
          <w:i w:val="0"/>
          <w:color w:val="222830"/>
          <w:sz w:val="21"/>
        </w:rPr>
        <w:t>Prolonged boarding of admitted patients in the ED is associated with higher inpatient mortality (Singer et al., 2011).</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val="0"/>
          <w:i w:val="0"/>
          <w:color w:val="222830"/>
          <w:sz w:val="21"/>
        </w:rPr>
        <w:t>High hospital bed occupancy is associated with increased inpatient and 30-day mortality (Madsen et al., 2014). In the saturated region of the curve, patients tend not merely to wait longer.</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val="0"/>
          <w:i w:val="0"/>
          <w:color w:val="222830"/>
          <w:sz w:val="21"/>
        </w:rPr>
        <w:t>Delay is driven by variability, not averages: a hospital can hit its total daily discharge target and still fail operationally if those discharges land too late to absorb the arrival surge. In flow systems, timing is capacity.</w:t>
      </w:r>
    </w:p>
    <w:p>
      <w:pPr>
        <w:shd w:val="clear" w:color="auto" w:fill="EAF1F5"/>
        <w:pBdr>
          <w:left w:val="single" w:sz="20" w:space="12" w:color="2C7A7B"/>
        </w:pBdr>
        <w:spacing w:before="160" w:after="200" w:line="274" w:lineRule="auto"/>
        <w:ind w:left="240" w:right="160"/>
      </w:pPr>
      <w:r>
        <w:rPr>
          <w:rFonts w:ascii="Calibri" w:hAnsi="Calibri"/>
          <w:rFonts w:ascii="Calibri" w:hAnsi="Calibri" w:cs="Calibri"/>
          <w:b/>
          <w:i w:val="0"/>
          <w:color w:val="1F3A5F"/>
          <w:sz w:val="20"/>
          <w:caps w:val="true"/>
          <w:spacing w:val="20"/>
        </w:rPr>
        <w:t xml:space="preserve">Read the numbers as associations  </w:t>
      </w:r>
      <w:r>
        <w:rPr>
          <w:rFonts w:ascii="Calibri" w:hAnsi="Calibri"/>
          <w:rFonts w:ascii="Calibri" w:hAnsi="Calibri" w:cs="Calibri"/>
          <w:b w:val="0"/>
          <w:i/>
          <w:color w:val="222830"/>
          <w:sz w:val="20"/>
        </w:rPr>
        <w:t>The findings above describe statistical associations observed across populations of patients and hospitals. They are strong reasons to protect exit velocity — not guarantees that any single earlier discharge changes any single outcome. Frame improvement work as reducing risk and congestion, not as promising a specific result.</w:t>
      </w:r>
    </w:p>
    <w:p>
      <w:pPr>
        <w:keepNext/>
        <w:spacing w:before="320" w:after="80"/>
        <w:pBdr>
          <w:bottom w:val="single" w:sz="6" w:space="3" w:color="1F3A5F"/>
        </w:pBdr>
      </w:pPr>
      <w:r>
        <w:rPr>
          <w:rFonts w:ascii="Georgia" w:hAnsi="Georgia"/>
          <w:rFonts w:ascii="Georgia" w:hAnsi="Georgia" w:cs="Georgia"/>
          <w:b/>
          <w:i w:val="0"/>
          <w:color w:val="2C7A7B"/>
          <w:sz w:val="30"/>
        </w:rPr>
        <w:t xml:space="preserve">2  </w:t>
      </w:r>
      <w:r>
        <w:rPr>
          <w:rFonts w:ascii="Georgia" w:hAnsi="Georgia"/>
          <w:rFonts w:ascii="Georgia" w:hAnsi="Georgia" w:cs="Georgia"/>
          <w:b/>
          <w:i w:val="0"/>
          <w:color w:val="1F3A5F"/>
          <w:sz w:val="30"/>
        </w:rPr>
        <w:t>The Goal — Shift the Discharge Curve Earlier</w:t>
      </w:r>
    </w:p>
    <w:p>
      <w:pPr>
        <w:spacing w:after="120" w:line="274" w:lineRule="auto"/>
      </w:pPr>
      <w:r>
        <w:rPr>
          <w:rFonts w:ascii="Calibri" w:hAnsi="Calibri"/>
          <w:rFonts w:ascii="Calibri" w:hAnsi="Calibri" w:cs="Calibri"/>
          <w:b w:val="0"/>
          <w:i w:val="0"/>
          <w:color w:val="222830"/>
          <w:sz w:val="21"/>
        </w:rPr>
        <w:t>In most hospitals, ED arrivals surge from mid-morning and peak in the early afternoon — the system's "inhale." Discharges follow a slower rhythm set by rounding customs and sequential workflows: rounds begin around 8:30 a.m., discharge orders are signed near noon, pharmacy clears medications in the early afternoon, and transport arrives later still. By the time a room actually opens in mid-afternoon, the ED has already spent hours congested. This mismatch is the "Noon Cliff," and it produces artificial crowding — beds that exist physically but are unavailable operationally.</w:t>
      </w:r>
    </w:p>
    <w:p>
      <w:pPr>
        <w:shd w:val="clear" w:color="auto" w:fill="EAF1F5"/>
        <w:pBdr>
          <w:left w:val="single" w:sz="20" w:space="12" w:color="2C7A7B"/>
        </w:pBdr>
        <w:spacing w:before="160" w:after="200" w:line="274" w:lineRule="auto"/>
        <w:ind w:left="240" w:right="160"/>
      </w:pPr>
      <w:r>
        <w:rPr>
          <w:rFonts w:ascii="Calibri" w:hAnsi="Calibri"/>
          <w:rFonts w:ascii="Calibri" w:hAnsi="Calibri" w:cs="Calibri"/>
          <w:b/>
          <w:i w:val="0"/>
          <w:color w:val="1F3A5F"/>
          <w:sz w:val="20"/>
          <w:caps w:val="true"/>
          <w:spacing w:val="20"/>
        </w:rPr>
        <w:t xml:space="preserve">The goal in one line  </w:t>
      </w:r>
      <w:r>
        <w:rPr>
          <w:rFonts w:ascii="Calibri" w:hAnsi="Calibri"/>
          <w:rFonts w:ascii="Calibri" w:hAnsi="Calibri" w:cs="Calibri"/>
          <w:b w:val="0"/>
          <w:i/>
          <w:color w:val="222830"/>
          <w:sz w:val="20"/>
        </w:rPr>
        <w:t>Move the discharge curve to the left so beds open BEFORE the mid-day admission wave — not after it. Concretely: clear a meaningful share of discharges before 10:00, target the bulk before 11:00, and keep occupancy off the steep tail of the curve during the hours the ED is filling.</w:t>
      </w:r>
    </w:p>
    <w:p>
      <w:pPr>
        <w:spacing w:after="120" w:line="274" w:lineRule="auto"/>
      </w:pPr>
      <w:r>
        <w:rPr>
          <w:rFonts w:ascii="Calibri" w:hAnsi="Calibri"/>
          <w:rFonts w:ascii="Calibri" w:hAnsi="Calibri" w:cs="Calibri"/>
          <w:b w:val="0"/>
          <w:i w:val="0"/>
          <w:color w:val="222830"/>
          <w:sz w:val="21"/>
        </w:rPr>
        <w:t>Sources of delay split into two groups that must be managed differently. Internal, largely designable sources — medication reconciliation, transport scheduling, and internal sequencing/room turnover — can be compressed directly by the playbook that follows. External sources only partly within the hospital's control — post-acute (SNF) capacity, payer prior authorization, and complex social/legal/family situations — can be buffered but not eliminated (earlier authorization starts, standing post-acute relationships, and a discharge lounge).</w:t>
      </w:r>
    </w:p>
    <w:p>
      <w:pPr>
        <w:keepNext/>
        <w:spacing w:before="320" w:after="80"/>
        <w:pBdr>
          <w:bottom w:val="single" w:sz="6" w:space="3" w:color="1F3A5F"/>
        </w:pBdr>
      </w:pPr>
      <w:r>
        <w:rPr>
          <w:rFonts w:ascii="Georgia" w:hAnsi="Georgia"/>
          <w:rFonts w:ascii="Georgia" w:hAnsi="Georgia" w:cs="Georgia"/>
          <w:b/>
          <w:i w:val="0"/>
          <w:color w:val="2C7A7B"/>
          <w:sz w:val="30"/>
        </w:rPr>
        <w:t xml:space="preserve">3  </w:t>
      </w:r>
      <w:r>
        <w:rPr>
          <w:rFonts w:ascii="Georgia" w:hAnsi="Georgia"/>
          <w:rFonts w:ascii="Georgia" w:hAnsi="Georgia" w:cs="Georgia"/>
          <w:b/>
          <w:i w:val="0"/>
          <w:color w:val="1F3A5F"/>
          <w:sz w:val="30"/>
        </w:rPr>
        <w:t>The Discharge-by-Noon Playbook</w:t>
      </w:r>
    </w:p>
    <w:p>
      <w:pPr>
        <w:spacing w:after="160" w:line="274" w:lineRule="auto"/>
      </w:pPr>
      <w:r>
        <w:rPr>
          <w:rFonts w:ascii="Calibri" w:hAnsi="Calibri"/>
          <w:rFonts w:ascii="Calibri" w:hAnsi="Calibri" w:cs="Calibri"/>
          <w:b w:val="0"/>
          <w:i w:val="0"/>
          <w:color w:val="222830"/>
          <w:sz w:val="21"/>
        </w:rPr>
        <w:t>Six steps that compress the internal delays and buffer the external ones. Run them every day, in this order.</w:t>
      </w:r>
    </w:p>
    <w:p>
      <w:pPr>
        <w:spacing w:after="80" w:line="271" w:lineRule="auto"/>
        <w:ind w:left="440" w:hanging="440"/>
      </w:pPr>
      <w:r>
        <w:rPr>
          <w:rFonts w:ascii="Calibri" w:hAnsi="Calibri"/>
          <w:rFonts w:ascii="Calibri" w:hAnsi="Calibri" w:cs="Calibri"/>
          <w:b/>
          <w:i w:val="0"/>
          <w:color w:val="2C7A7B"/>
          <w:sz w:val="21"/>
        </w:rPr>
        <w:t xml:space="preserve">1.  </w:t>
      </w:r>
      <w:r>
        <w:rPr>
          <w:rFonts w:ascii="Calibri" w:hAnsi="Calibri"/>
          <w:rFonts w:ascii="Calibri" w:hAnsi="Calibri" w:cs="Calibri"/>
          <w:b/>
          <w:i w:val="0"/>
          <w:color w:val="1F3A5F"/>
          <w:sz w:val="21"/>
        </w:rPr>
        <w:t xml:space="preserve">Day-before discharge identification &amp; barrier-clearing. </w:t>
      </w:r>
      <w:r>
        <w:rPr>
          <w:rFonts w:ascii="Calibri" w:hAnsi="Calibri"/>
          <w:rFonts w:ascii="Calibri" w:hAnsi="Calibri" w:cs="Calibri"/>
          <w:b w:val="0"/>
          <w:i w:val="0"/>
          <w:color w:val="222830"/>
          <w:sz w:val="21"/>
        </w:rPr>
        <w:t>By late afternoon, identify tomorrow's likely discharges and name the single barrier most likely to hold each one. Start payer authorization up to 48 hours in advance; confirm the post-acute bed request; pre-order home equipment and transport; and pre-write the discharge medication list so pharmacy is not starting from zero at noon.</w:t>
      </w:r>
    </w:p>
    <w:p>
      <w:pPr>
        <w:spacing w:after="80" w:line="271" w:lineRule="auto"/>
        <w:ind w:left="440" w:hanging="440"/>
      </w:pPr>
      <w:r>
        <w:rPr>
          <w:rFonts w:ascii="Calibri" w:hAnsi="Calibri"/>
          <w:rFonts w:ascii="Calibri" w:hAnsi="Calibri" w:cs="Calibri"/>
          <w:b/>
          <w:i w:val="0"/>
          <w:color w:val="2C7A7B"/>
          <w:sz w:val="21"/>
        </w:rPr>
        <w:t xml:space="preserve">2.  </w:t>
      </w:r>
      <w:r>
        <w:rPr>
          <w:rFonts w:ascii="Calibri" w:hAnsi="Calibri"/>
          <w:rFonts w:ascii="Calibri" w:hAnsi="Calibri" w:cs="Calibri"/>
          <w:b/>
          <w:i w:val="0"/>
          <w:color w:val="1F3A5F"/>
          <w:sz w:val="21"/>
        </w:rPr>
        <w:t xml:space="preserve">Morning multidisciplinary discharge huddle. </w:t>
      </w:r>
      <w:r>
        <w:rPr>
          <w:rFonts w:ascii="Calibri" w:hAnsi="Calibri"/>
          <w:rFonts w:ascii="Calibri" w:hAnsi="Calibri" w:cs="Calibri"/>
          <w:b w:val="0"/>
          <w:i w:val="0"/>
          <w:color w:val="222830"/>
          <w:sz w:val="21"/>
        </w:rPr>
        <w:t>Hold a short, standing huddle (hospitalist/attending, charge nurse, case management/social work, pharmacy, and a bed-management/flow representative) that walks the Ready-to-Leave list, confirms each expected discharge, assigns an owner to every open barrier, and sets a target departure time for each patient.</w:t>
      </w:r>
    </w:p>
    <w:p>
      <w:pPr>
        <w:spacing w:after="80" w:line="271" w:lineRule="auto"/>
        <w:ind w:left="440" w:hanging="440"/>
      </w:pPr>
      <w:r>
        <w:rPr>
          <w:rFonts w:ascii="Calibri" w:hAnsi="Calibri"/>
          <w:rFonts w:ascii="Calibri" w:hAnsi="Calibri" w:cs="Calibri"/>
          <w:b/>
          <w:i w:val="0"/>
          <w:color w:val="2C7A7B"/>
          <w:sz w:val="21"/>
        </w:rPr>
        <w:t xml:space="preserve">3.  </w:t>
      </w:r>
      <w:r>
        <w:rPr>
          <w:rFonts w:ascii="Calibri" w:hAnsi="Calibri"/>
          <w:rFonts w:ascii="Calibri" w:hAnsi="Calibri" w:cs="Calibri"/>
          <w:b/>
          <w:i w:val="0"/>
          <w:color w:val="1F3A5F"/>
          <w:sz w:val="21"/>
        </w:rPr>
        <w:t xml:space="preserve">Set an explicit "discharge by 11:00" target. </w:t>
      </w:r>
      <w:r>
        <w:rPr>
          <w:rFonts w:ascii="Calibri" w:hAnsi="Calibri"/>
          <w:rFonts w:ascii="Calibri" w:hAnsi="Calibri" w:cs="Calibri"/>
          <w:b w:val="0"/>
          <w:i w:val="0"/>
          <w:color w:val="222830"/>
          <w:sz w:val="21"/>
        </w:rPr>
        <w:t>Make the target visible and specific: a defined share of the day's discharges with orders written before 10:00 and patients physically out before 11:00, ahead of the arrival peak. Prioritize rounding discipline on likely discharges first so orders are not batched to noon.</w:t>
      </w:r>
    </w:p>
    <w:p>
      <w:pPr>
        <w:spacing w:after="80" w:line="271" w:lineRule="auto"/>
        <w:ind w:left="440" w:hanging="440"/>
      </w:pPr>
      <w:r>
        <w:rPr>
          <w:rFonts w:ascii="Calibri" w:hAnsi="Calibri"/>
          <w:rFonts w:ascii="Calibri" w:hAnsi="Calibri" w:cs="Calibri"/>
          <w:b/>
          <w:i w:val="0"/>
          <w:color w:val="2C7A7B"/>
          <w:sz w:val="21"/>
        </w:rPr>
        <w:t xml:space="preserve">4.  </w:t>
      </w:r>
      <w:r>
        <w:rPr>
          <w:rFonts w:ascii="Calibri" w:hAnsi="Calibri"/>
          <w:rFonts w:ascii="Calibri" w:hAnsi="Calibri" w:cs="Calibri"/>
          <w:b/>
          <w:i w:val="0"/>
          <w:color w:val="1F3A5F"/>
          <w:sz w:val="21"/>
        </w:rPr>
        <w:t xml:space="preserve">Parallel processing, not a linear handoff. </w:t>
      </w:r>
      <w:r>
        <w:rPr>
          <w:rFonts w:ascii="Calibri" w:hAnsi="Calibri"/>
          <w:rFonts w:ascii="Calibri" w:hAnsi="Calibri" w:cs="Calibri"/>
          <w:b w:val="0"/>
          <w:i w:val="0"/>
          <w:color w:val="222830"/>
          <w:sz w:val="21"/>
        </w:rPr>
        <w:t>Stop treating discharge as a strict sequence (physician → nurse → pharmacy → transport → EVS) in which any single pending task freezes the release. Run medication reconciliation, transport booking, education, and paperwork concurrently so one late item cannot stall the whole discharge.</w:t>
      </w:r>
    </w:p>
    <w:p>
      <w:pPr>
        <w:spacing w:after="80" w:line="271" w:lineRule="auto"/>
        <w:ind w:left="440" w:hanging="440"/>
      </w:pPr>
      <w:r>
        <w:rPr>
          <w:rFonts w:ascii="Calibri" w:hAnsi="Calibri"/>
          <w:rFonts w:ascii="Calibri" w:hAnsi="Calibri" w:cs="Calibri"/>
          <w:b/>
          <w:i w:val="0"/>
          <w:color w:val="2C7A7B"/>
          <w:sz w:val="21"/>
        </w:rPr>
        <w:t xml:space="preserve">5.  </w:t>
      </w:r>
      <w:r>
        <w:rPr>
          <w:rFonts w:ascii="Calibri" w:hAnsi="Calibri"/>
          <w:rFonts w:ascii="Calibri" w:hAnsi="Calibri" w:cs="Calibri"/>
          <w:b/>
          <w:i w:val="0"/>
          <w:color w:val="1F3A5F"/>
          <w:sz w:val="21"/>
        </w:rPr>
        <w:t xml:space="preserve">Real-time barrier escalation. </w:t>
      </w:r>
      <w:r>
        <w:rPr>
          <w:rFonts w:ascii="Calibri" w:hAnsi="Calibri"/>
          <w:rFonts w:ascii="Calibri" w:hAnsi="Calibri" w:cs="Calibri"/>
          <w:b w:val="0"/>
          <w:i w:val="0"/>
          <w:color w:val="222830"/>
          <w:sz w:val="21"/>
        </w:rPr>
        <w:t>When a barrier is not cleared by its owner within a set window, escalate it immediately — do not wait for the next huddle. A flow lead or bed-management desk tracks open barriers (a missing fax, a pending van, an unsigned order, a stalled authorization) and drives each to resolution before it stalls turnover.</w:t>
      </w:r>
    </w:p>
    <w:p>
      <w:pPr>
        <w:spacing w:after="80" w:line="271" w:lineRule="auto"/>
        <w:ind w:left="440" w:hanging="440"/>
      </w:pPr>
      <w:r>
        <w:rPr>
          <w:rFonts w:ascii="Calibri" w:hAnsi="Calibri"/>
          <w:rFonts w:ascii="Calibri" w:hAnsi="Calibri" w:cs="Calibri"/>
          <w:b/>
          <w:i w:val="0"/>
          <w:color w:val="2C7A7B"/>
          <w:sz w:val="21"/>
        </w:rPr>
        <w:t xml:space="preserve">6.  </w:t>
      </w:r>
      <w:r>
        <w:rPr>
          <w:rFonts w:ascii="Calibri" w:hAnsi="Calibri"/>
          <w:rFonts w:ascii="Calibri" w:hAnsi="Calibri" w:cs="Calibri"/>
          <w:b/>
          <w:i w:val="0"/>
          <w:color w:val="1F3A5F"/>
          <w:sz w:val="21"/>
        </w:rPr>
        <w:t xml:space="preserve">Afternoon backstop &amp; discharge lounge. </w:t>
      </w:r>
      <w:r>
        <w:rPr>
          <w:rFonts w:ascii="Calibri" w:hAnsi="Calibri"/>
          <w:rFonts w:ascii="Calibri" w:hAnsi="Calibri" w:cs="Calibri"/>
          <w:b w:val="0"/>
          <w:i w:val="0"/>
          <w:color w:val="222830"/>
          <w:sz w:val="21"/>
        </w:rPr>
        <w:t>Early afternoon, re-sweep the list: move every "awaiting ride / awaiting equipment" patient who is medically finished to a discharge lounge so they stop functioning as a bed blocker, and confirm EVS is turning vacated rooms without delay. The lounge is the single most effective buffer against external delays because it decouples "medically finished" from "physically in the bed."</w:t>
      </w:r>
    </w:p>
    <w:p>
      <w:pPr>
        <w:keepNext/>
        <w:spacing w:before="320" w:after="80"/>
        <w:pBdr>
          <w:bottom w:val="single" w:sz="6" w:space="3" w:color="1F3A5F"/>
        </w:pBdr>
      </w:pPr>
      <w:r>
        <w:rPr>
          <w:rFonts w:ascii="Georgia" w:hAnsi="Georgia"/>
          <w:rFonts w:ascii="Georgia" w:hAnsi="Georgia" w:cs="Georgia"/>
          <w:b/>
          <w:i w:val="0"/>
          <w:color w:val="2C7A7B"/>
          <w:sz w:val="30"/>
        </w:rPr>
        <w:t xml:space="preserve">4  </w:t>
      </w:r>
      <w:r>
        <w:rPr>
          <w:rFonts w:ascii="Georgia" w:hAnsi="Georgia"/>
          <w:rFonts w:ascii="Georgia" w:hAnsi="Georgia" w:cs="Georgia"/>
          <w:b/>
          <w:i w:val="0"/>
          <w:color w:val="1F3A5F"/>
          <w:sz w:val="30"/>
        </w:rPr>
        <w:t>RACI — Who Does What at Each Discharge Step</w:t>
      </w:r>
    </w:p>
    <w:p>
      <w:pPr>
        <w:spacing w:after="160" w:line="274" w:lineRule="auto"/>
      </w:pPr>
      <w:r>
        <w:rPr>
          <w:rFonts w:ascii="Calibri" w:hAnsi="Calibri"/>
          <w:rFonts w:ascii="Calibri" w:hAnsi="Calibri" w:cs="Calibri"/>
          <w:b w:val="0"/>
          <w:i w:val="0"/>
          <w:color w:val="222830"/>
          <w:sz w:val="21"/>
        </w:rPr>
        <w:t>R = Responsible (does the work)   ·   A = Accountable (owns the outcome)   ·   C = Consulted   ·   I = Informed. Adapt roles to your local titles; the point is that every step has one accountable owner and no barrier is orphaned.</w:t>
      </w:r>
    </w:p>
    <w:tbl>
      <w:tblPr>
        <w:tblW w:type="auto" w:w="0"/>
        <w:jc w:val="center"/>
        <w:tblLayout w:type="fixed"/>
        <w:tblLook w:firstColumn="1" w:firstRow="1" w:lastColumn="0" w:lastRow="0" w:noHBand="0" w:noVBand="1" w:val="04A0"/>
      </w:tblPr>
      <w:tblGrid>
        <w:gridCol w:w="1399"/>
        <w:gridCol w:w="1399"/>
        <w:gridCol w:w="1399"/>
        <w:gridCol w:w="1399"/>
        <w:gridCol w:w="1399"/>
        <w:gridCol w:w="1399"/>
        <w:gridCol w:w="1399"/>
      </w:tblGrid>
      <w:tr>
        <w:tc>
          <w:tcPr>
            <w:tcW w:type="dxa" w:w="3384"/>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7"/>
              </w:rPr>
              <w:t>Discharge step</w:t>
            </w:r>
          </w:p>
        </w:tc>
        <w:tc>
          <w:tcPr>
            <w:tcW w:type="dxa" w:w="1238"/>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Hospitalist /</w:t>
              <w:br/>
              <w:t>Attending</w:t>
            </w:r>
          </w:p>
        </w:tc>
        <w:tc>
          <w:tcPr>
            <w:tcW w:type="dxa" w:w="1037"/>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Charge</w:t>
              <w:br/>
              <w:t>nurse</w:t>
            </w:r>
          </w:p>
        </w:tc>
        <w:tc>
          <w:tcPr>
            <w:tcW w:type="dxa" w:w="129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Case mgmt /</w:t>
              <w:br/>
              <w:t>Social work</w:t>
            </w:r>
          </w:p>
        </w:tc>
        <w:tc>
          <w:tcPr>
            <w:tcW w:type="dxa" w:w="1123"/>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Pharmacy</w:t>
            </w:r>
          </w:p>
        </w:tc>
        <w:tc>
          <w:tcPr>
            <w:tcW w:type="dxa" w:w="1123"/>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Transport</w:t>
            </w:r>
          </w:p>
        </w:tc>
        <w:tc>
          <w:tcPr>
            <w:tcW w:type="dxa" w:w="1238"/>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Bed mgmt /</w:t>
              <w:br/>
              <w:t>Flow</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Day-before discharge identification</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A</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R</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R</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C</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C</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Start prior authorization (≤48h ahead)</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C</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A/R</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Confirm post-acute / SNF bed</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C</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A/R</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C</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Write discharge order &amp; med reconciliation</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A/R</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C</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R</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Prepare &amp; counsel on discharge meds</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C</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C</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A/R</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Patient education &amp; readiness</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C</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A/R</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C</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C</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Book &amp; synchronize transport</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C</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R</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A/R</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C</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Move to discharge lounge (if awaiting ride)</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A/R</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C</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I</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R</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C</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Room turnover / EVS after departure</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R</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A</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Escalate stalled barriers in real time</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C</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R</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R</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C</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C</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A</w:t>
            </w:r>
          </w:p>
        </w:tc>
      </w:tr>
      <w:tr>
        <w:tc>
          <w:tcPr>
            <w:tcW w:type="dxa" w:w="33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Update bed board / assign to admission</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R</w:t>
            </w:r>
          </w:p>
        </w:tc>
        <w:tc>
          <w:tcPr>
            <w:tcW w:type="dxa" w:w="12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123"/>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I</w:t>
            </w:r>
          </w:p>
        </w:tc>
        <w:tc>
          <w:tcPr>
            <w:tcW w:type="dxa" w:w="123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A/R</w:t>
            </w:r>
          </w:p>
        </w:tc>
      </w:tr>
    </w:tbl>
    <w:p>
      <w:pPr>
        <w:spacing w:after="0"/>
      </w:pPr>
      <w:r>
        <w:rPr>
          <w:sz w:val="8"/>
        </w:rPr>
      </w:r>
    </w:p>
    <w:p>
      <w:pPr>
        <w:shd w:val="clear" w:color="auto" w:fill="EAF1F5"/>
        <w:pBdr>
          <w:left w:val="single" w:sz="20" w:space="12" w:color="2C7A7B"/>
        </w:pBdr>
        <w:spacing w:before="160" w:after="200" w:line="274" w:lineRule="auto"/>
        <w:ind w:left="240" w:right="160"/>
      </w:pPr>
      <w:r>
        <w:rPr>
          <w:rFonts w:ascii="Calibri" w:hAnsi="Calibri"/>
          <w:rFonts w:ascii="Calibri" w:hAnsi="Calibri" w:cs="Calibri"/>
          <w:b/>
          <w:i w:val="0"/>
          <w:color w:val="1F3A5F"/>
          <w:sz w:val="20"/>
          <w:caps w:val="true"/>
          <w:spacing w:val="20"/>
        </w:rPr>
        <w:t xml:space="preserve">Design rule  </w:t>
      </w:r>
      <w:r>
        <w:rPr>
          <w:rFonts w:ascii="Calibri" w:hAnsi="Calibri"/>
          <w:rFonts w:ascii="Calibri" w:hAnsi="Calibri" w:cs="Calibri"/>
          <w:b w:val="0"/>
          <w:i/>
          <w:color w:val="222830"/>
          <w:sz w:val="20"/>
        </w:rPr>
        <w:t>Internal-designable steps (med rec, transport, sequencing, room turnover) should sit with roles inside your walls and be driven to a time. External-dependent steps (prior auth, post-acute bed) are owned by case management but can only be buffered — start them early and give them a place (the lounge) to wait without holding a bed.</w:t>
      </w:r>
    </w:p>
    <w:p>
      <w:r>
        <w:br w:type="page"/>
      </w:r>
    </w:p>
    <w:p>
      <w:pPr>
        <w:keepNext/>
        <w:spacing w:before="320" w:after="80"/>
        <w:pBdr>
          <w:bottom w:val="single" w:sz="6" w:space="3" w:color="1F3A5F"/>
        </w:pBdr>
      </w:pPr>
      <w:r>
        <w:rPr>
          <w:rFonts w:ascii="Georgia" w:hAnsi="Georgia"/>
          <w:rFonts w:ascii="Georgia" w:hAnsi="Georgia" w:cs="Georgia"/>
          <w:b/>
          <w:i w:val="0"/>
          <w:color w:val="2C7A7B"/>
          <w:sz w:val="30"/>
        </w:rPr>
        <w:t xml:space="preserve">5  </w:t>
      </w:r>
      <w:r>
        <w:rPr>
          <w:rFonts w:ascii="Georgia" w:hAnsi="Georgia"/>
          <w:rFonts w:ascii="Georgia" w:hAnsi="Georgia" w:cs="Georgia"/>
          <w:b/>
          <w:i w:val="0"/>
          <w:color w:val="1F3A5F"/>
          <w:sz w:val="30"/>
        </w:rPr>
        <w:t>One-Page Daily Discharge Checklist</w:t>
      </w:r>
    </w:p>
    <w:p>
      <w:pPr>
        <w:spacing w:after="160" w:line="274" w:lineRule="auto"/>
      </w:pPr>
      <w:r>
        <w:rPr>
          <w:rFonts w:ascii="Calibri" w:hAnsi="Calibri"/>
          <w:rFonts w:ascii="Calibri" w:hAnsi="Calibri" w:cs="Calibri"/>
          <w:b w:val="0"/>
          <w:i w:val="0"/>
          <w:color w:val="222830"/>
          <w:sz w:val="21"/>
        </w:rPr>
        <w:t>Print one per unit per day. Work top to bottom; anything unchecked by its window is an escalation, not a note for tomorrow.</w:t>
      </w:r>
    </w:p>
    <w:p>
      <w:pPr>
        <w:keepNext/>
        <w:spacing w:before="220" w:after="60"/>
      </w:pPr>
      <w:r>
        <w:rPr>
          <w:rFonts w:ascii="Calibri" w:hAnsi="Calibri"/>
          <w:rFonts w:ascii="Calibri" w:hAnsi="Calibri" w:cs="Calibri"/>
          <w:b/>
          <w:i w:val="0"/>
          <w:color w:val="2C7A7B"/>
          <w:sz w:val="24"/>
        </w:rPr>
        <w:t>Yesterday, late afternoon — set up tomorrow</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Tomorrow's likely discharges identified and listed</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Single most-likely barrier named for each patient</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Prior authorization started for every anticipated post-acute discharge (≤48h ahead)</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Post-acute / SNF bed requested and tracked; home equipment and oxygen ordered</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Transport pre-booked into a pickup window where possible</w:t>
      </w:r>
    </w:p>
    <w:p>
      <w:pPr>
        <w:keepNext/>
        <w:spacing w:before="220" w:after="60"/>
      </w:pPr>
      <w:r>
        <w:rPr>
          <w:rFonts w:ascii="Calibri" w:hAnsi="Calibri"/>
          <w:rFonts w:ascii="Calibri" w:hAnsi="Calibri" w:cs="Calibri"/>
          <w:b/>
          <w:i w:val="0"/>
          <w:color w:val="2C7A7B"/>
          <w:sz w:val="24"/>
        </w:rPr>
        <w:t>Morning — huddle &amp; orders (by 09:00–10:00)</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Multidisciplinary discharge huddle held; Ready-to-Leave list walked</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Each expected discharge confirmed; owner assigned to every open barrier</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Target departure time set for each patient (aim: orders before 10:00)</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Discharge orders written and medication reconciliation completed for early leavers first</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Discharge medications prepared; patient counseling scheduled</w:t>
      </w:r>
    </w:p>
    <w:p>
      <w:pPr>
        <w:keepNext/>
        <w:spacing w:before="220" w:after="60"/>
      </w:pPr>
      <w:r>
        <w:rPr>
          <w:rFonts w:ascii="Calibri" w:hAnsi="Calibri"/>
          <w:rFonts w:ascii="Calibri" w:hAnsi="Calibri" w:cs="Calibri"/>
          <w:b/>
          <w:i w:val="0"/>
          <w:color w:val="2C7A7B"/>
          <w:sz w:val="24"/>
        </w:rPr>
        <w:t>Late morning — hit the 11:00 target</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Target share of discharges physically OUT before 11:00</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Transport synchronized with paperwork, meds, and patient (no van left circling)</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Any barrier open past its window ESCALATED in real time (not deferred)</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Vacated rooms flagged to EVS immediately; turnover underway</w:t>
      </w:r>
    </w:p>
    <w:p>
      <w:pPr>
        <w:keepNext/>
        <w:spacing w:before="220" w:after="60"/>
      </w:pPr>
      <w:r>
        <w:rPr>
          <w:rFonts w:ascii="Calibri" w:hAnsi="Calibri"/>
          <w:rFonts w:ascii="Calibri" w:hAnsi="Calibri" w:cs="Calibri"/>
          <w:b/>
          <w:i w:val="0"/>
          <w:color w:val="2C7A7B"/>
          <w:sz w:val="24"/>
        </w:rPr>
        <w:t>Early afternoon — backstop</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List re-swept; every "awaiting ride / awaiting equipment" patient moved to discharge lounge</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Remaining external barriers (SNF bed, prior auth) escalated to flow lead</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Rooms confirmed turned and returned to the bed board for the admission wave</w:t>
      </w:r>
    </w:p>
    <w:p>
      <w:pPr>
        <w:spacing w:after="60" w:line="264" w:lineRule="auto"/>
        <w:ind w:left="400" w:hanging="320"/>
      </w:pPr>
      <w:r>
        <w:rPr>
          <w:rFonts w:ascii="Calibri" w:hAnsi="Calibri"/>
          <w:rFonts w:ascii="Calibri" w:hAnsi="Calibri" w:cs="Calibri"/>
          <w:b/>
          <w:i w:val="0"/>
          <w:color w:val="2C7A7B"/>
          <w:sz w:val="24"/>
        </w:rPr>
        <w:t xml:space="preserve">❑  </w:t>
      </w:r>
      <w:r>
        <w:rPr>
          <w:rFonts w:ascii="Calibri" w:hAnsi="Calibri"/>
          <w:rFonts w:ascii="Calibri" w:hAnsi="Calibri" w:cs="Calibri"/>
          <w:b w:val="0"/>
          <w:i w:val="0"/>
          <w:color w:val="222830"/>
          <w:sz w:val="21"/>
        </w:rPr>
        <w:t>End-of-day: capture reasons any planned discharge slipped past target (for tomorrow's design)</w:t>
      </w:r>
    </w:p>
    <w:p>
      <w:pPr>
        <w:keepNext/>
        <w:spacing w:before="320" w:after="80"/>
        <w:pBdr>
          <w:bottom w:val="single" w:sz="6" w:space="3" w:color="1F3A5F"/>
        </w:pBdr>
      </w:pPr>
      <w:r>
        <w:rPr>
          <w:rFonts w:ascii="Georgia" w:hAnsi="Georgia"/>
          <w:rFonts w:ascii="Georgia" w:hAnsi="Georgia" w:cs="Georgia"/>
          <w:b/>
          <w:i w:val="0"/>
          <w:color w:val="2C7A7B"/>
          <w:sz w:val="30"/>
        </w:rPr>
        <w:t xml:space="preserve">6  </w:t>
      </w:r>
      <w:r>
        <w:rPr>
          <w:rFonts w:ascii="Georgia" w:hAnsi="Georgia"/>
          <w:rFonts w:ascii="Georgia" w:hAnsi="Georgia" w:cs="Georgia"/>
          <w:b/>
          <w:i w:val="0"/>
          <w:color w:val="1F3A5F"/>
          <w:sz w:val="30"/>
        </w:rPr>
        <w:t>Metrics to Track</w:t>
      </w:r>
    </w:p>
    <w:p>
      <w:pPr>
        <w:spacing w:after="160" w:line="274" w:lineRule="auto"/>
      </w:pPr>
      <w:r>
        <w:rPr>
          <w:rFonts w:ascii="Calibri" w:hAnsi="Calibri"/>
          <w:rFonts w:ascii="Calibri" w:hAnsi="Calibri" w:cs="Calibri"/>
          <w:b w:val="0"/>
          <w:i w:val="0"/>
          <w:color w:val="222830"/>
          <w:sz w:val="21"/>
        </w:rPr>
        <w:t>Track a small set of exit-velocity measures daily, not quarterly — discharge failure is a real-time flow problem. Watch the tail (the longest delays), not just the average. All targets below are starting points to calibrate against your own baseline; treat them as directional, and read every association as a reason to reduce congestion and risk, not as a promised outcome.</w:t>
      </w:r>
    </w:p>
    <w:tbl>
      <w:tblPr>
        <w:tblW w:type="auto" w:w="0"/>
        <w:jc w:val="center"/>
        <w:tblLayout w:type="fixed"/>
        <w:tblLook w:firstColumn="1" w:firstRow="1" w:lastColumn="0" w:lastRow="0" w:noHBand="0" w:noVBand="1" w:val="04A0"/>
      </w:tblPr>
      <w:tblGrid>
        <w:gridCol w:w="1958"/>
        <w:gridCol w:w="1958"/>
        <w:gridCol w:w="1958"/>
        <w:gridCol w:w="1958"/>
        <w:gridCol w:w="1958"/>
      </w:tblGrid>
      <w:tr>
        <w:tc>
          <w:tcPr>
            <w:tcW w:type="dxa" w:w="2232"/>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7"/>
              </w:rPr>
              <w:t>Metric</w:t>
            </w:r>
          </w:p>
        </w:tc>
        <w:tc>
          <w:tcPr>
            <w:tcW w:type="dxa" w:w="2952"/>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7"/>
              </w:rPr>
              <w:t>What it tells you</w:t>
            </w:r>
          </w:p>
        </w:tc>
        <w:tc>
          <w:tcPr>
            <w:tcW w:type="dxa" w:w="309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7"/>
              </w:rPr>
              <w:t>How to compute</w:t>
            </w:r>
          </w:p>
        </w:tc>
        <w:tc>
          <w:tcPr>
            <w:tcW w:type="dxa" w:w="1512"/>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7"/>
              </w:rPr>
              <w:t>Starter target</w:t>
            </w:r>
          </w:p>
        </w:tc>
        <w:tc>
          <w:tcPr>
            <w:tcW w:type="dxa" w:w="1080"/>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Cadence</w:t>
            </w:r>
          </w:p>
        </w:tc>
      </w:tr>
      <w:tr>
        <w:tc>
          <w:tcPr>
            <w:tcW w:type="dxa" w:w="223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7"/>
              </w:rPr>
              <w:t>% discharged before noon</w:t>
            </w:r>
          </w:p>
        </w:tc>
        <w:tc>
          <w:tcPr>
            <w:tcW w:type="dxa" w:w="295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t>Whether the discharge curve is actually shifting earlier, ahead of the arrival peak</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t>Discharges with departure time &lt; 12:00 ÷ total discharges that day</w:t>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t>Rising trend;</w:t>
            </w:r>
          </w:p>
          <w:p>
            <w:pPr>
              <w:spacing w:after="0" w:line="254" w:lineRule="auto"/>
            </w:pPr>
            <w:r>
              <w:rPr>
                <w:rFonts w:ascii="Calibri" w:hAnsi="Calibri"/>
                <w:rFonts w:ascii="Calibri" w:hAnsi="Calibri" w:cs="Calibri"/>
                <w:b w:val="0"/>
                <w:i w:val="0"/>
                <w:color w:val="222830"/>
                <w:sz w:val="17"/>
              </w:rPr>
              <w:t>set local goal</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t>Daily</w:t>
            </w:r>
          </w:p>
        </w:tc>
      </w:tr>
      <w:tr>
        <w:tc>
          <w:tcPr>
            <w:tcW w:type="dxa" w:w="223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7"/>
              </w:rPr>
              <w:t>% orders written before 10:00</w:t>
            </w:r>
          </w:p>
        </w:tc>
        <w:tc>
          <w:tcPr>
            <w:tcW w:type="dxa" w:w="295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t>Rounding &amp; sequencing discipline upstream of departure</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t>Discharge orders signed &lt; 10:00 ÷ total discharge orders</w:t>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t>Rising trend</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t>Daily</w:t>
            </w:r>
          </w:p>
        </w:tc>
      </w:tr>
      <w:tr>
        <w:tc>
          <w:tcPr>
            <w:tcW w:type="dxa" w:w="223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7"/>
              </w:rPr>
              <w:t>Discharge order-to-departure time</w:t>
            </w:r>
          </w:p>
        </w:tc>
        <w:tc>
          <w:tcPr>
            <w:tcW w:type="dxa" w:w="295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t>Size of the internal "last-mile" lag (meds, transport, turnover)</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t>Median minutes from discharge order to patient physically leaving</w:t>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t>Falling trend</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t>Daily</w:t>
            </w:r>
          </w:p>
        </w:tc>
      </w:tr>
      <w:tr>
        <w:tc>
          <w:tcPr>
            <w:tcW w:type="dxa" w:w="223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7"/>
              </w:rPr>
              <w:t>ED boarding hours</w:t>
            </w:r>
          </w:p>
        </w:tc>
        <w:tc>
          <w:tcPr>
            <w:tcW w:type="dxa" w:w="295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t>Whether earlier exits are relieving downstream congestion</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t>Sum of hours admitted patients wait in the ED for an inpatient bed</w:t>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t>Falling trend</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t>Daily</w:t>
            </w:r>
          </w:p>
        </w:tc>
      </w:tr>
      <w:tr>
        <w:tc>
          <w:tcPr>
            <w:tcW w:type="dxa" w:w="223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7"/>
              </w:rPr>
              <w:t>Ready-to-Leave (RTL) lag</w:t>
            </w:r>
          </w:p>
        </w:tc>
        <w:tc>
          <w:tcPr>
            <w:tcW w:type="dxa" w:w="295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t>Bed-hours lost between medical readiness and actual movement</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t>Median hours from "medically ready" flag to departure</w:t>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t>Falling trend</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t>Daily / weekly</w:t>
            </w:r>
          </w:p>
        </w:tc>
      </w:tr>
      <w:tr>
        <w:tc>
          <w:tcPr>
            <w:tcW w:type="dxa" w:w="223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7"/>
              </w:rPr>
              <w:t>Discharges after 14:00 (%)</w:t>
            </w:r>
          </w:p>
        </w:tc>
        <w:tc>
          <w:tcPr>
            <w:tcW w:type="dxa" w:w="295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t>Batching risk — discharges landing too late to absorb the surge</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t>Discharges with departure ≥ 14:00 ÷ total discharges</w:t>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t>Falling trend</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t>Daily</w:t>
            </w:r>
          </w:p>
        </w:tc>
      </w:tr>
    </w:tbl>
    <w:p>
      <w:pPr>
        <w:spacing w:after="0"/>
      </w:pPr>
      <w:r>
        <w:rPr>
          <w:sz w:val="16"/>
        </w:rPr>
      </w:r>
    </w:p>
    <w:p>
      <w:pPr>
        <w:keepNext/>
        <w:spacing w:before="220" w:after="60"/>
      </w:pPr>
      <w:r>
        <w:rPr>
          <w:rFonts w:ascii="Calibri" w:hAnsi="Calibri"/>
          <w:rFonts w:ascii="Calibri" w:hAnsi="Calibri" w:cs="Calibri"/>
          <w:b/>
          <w:i w:val="0"/>
          <w:color w:val="2C7A7B"/>
          <w:sz w:val="24"/>
        </w:rPr>
        <w:t>Weekly tracking table (blank — reproduce and fill)</w:t>
      </w:r>
    </w:p>
    <w:tbl>
      <w:tblPr>
        <w:tblW w:type="auto" w:w="0"/>
        <w:jc w:val="center"/>
        <w:tblLayout w:type="fixed"/>
        <w:tblLook w:firstColumn="1" w:firstRow="1" w:lastColumn="0" w:lastRow="0" w:noHBand="0" w:noVBand="1" w:val="04A0"/>
      </w:tblPr>
      <w:tblGrid>
        <w:gridCol w:w="1399"/>
        <w:gridCol w:w="1399"/>
        <w:gridCol w:w="1399"/>
        <w:gridCol w:w="1399"/>
        <w:gridCol w:w="1399"/>
        <w:gridCol w:w="1399"/>
        <w:gridCol w:w="1399"/>
      </w:tblGrid>
      <w:tr>
        <w:tc>
          <w:tcPr>
            <w:tcW w:type="dxa" w:w="165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9"/>
              </w:rPr>
              <w:t>Week of</w:t>
            </w:r>
          </w:p>
        </w:tc>
        <w:tc>
          <w:tcPr>
            <w:tcW w:type="dxa" w:w="1512"/>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9"/>
              </w:rPr>
              <w:t>% before noon</w:t>
            </w:r>
          </w:p>
        </w:tc>
        <w:tc>
          <w:tcPr>
            <w:tcW w:type="dxa" w:w="1584"/>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9"/>
              </w:rPr>
              <w:t>% orders &lt;10:00</w:t>
            </w:r>
          </w:p>
        </w:tc>
        <w:tc>
          <w:tcPr>
            <w:tcW w:type="dxa" w:w="1800"/>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9"/>
              </w:rPr>
              <w:t>Order→depart (min)</w:t>
            </w:r>
          </w:p>
        </w:tc>
        <w:tc>
          <w:tcPr>
            <w:tcW w:type="dxa" w:w="165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9"/>
              </w:rPr>
              <w:t>ED boarding hrs</w:t>
            </w:r>
          </w:p>
        </w:tc>
        <w:tc>
          <w:tcPr>
            <w:tcW w:type="dxa" w:w="1440"/>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9"/>
              </w:rPr>
              <w:t>RTL lag (hrs)</w:t>
            </w:r>
          </w:p>
        </w:tc>
        <w:tc>
          <w:tcPr>
            <w:tcW w:type="dxa" w:w="1440"/>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9"/>
              </w:rPr>
              <w:t>% after 14:00</w:t>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5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5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5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5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5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58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44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r>
    </w:tbl>
    <w:p>
      <w:pPr>
        <w:spacing w:after="0"/>
      </w:pPr>
      <w:r>
        <w:rPr>
          <w:sz w:val="12"/>
        </w:rPr>
      </w:r>
    </w:p>
    <w:p>
      <w:pPr>
        <w:shd w:val="clear" w:color="auto" w:fill="EAF1F5"/>
        <w:pBdr>
          <w:left w:val="single" w:sz="20" w:space="12" w:color="2C7A7B"/>
        </w:pBdr>
        <w:spacing w:before="160" w:after="200" w:line="274" w:lineRule="auto"/>
        <w:ind w:left="240" w:right="160"/>
      </w:pPr>
      <w:r>
        <w:rPr>
          <w:rFonts w:ascii="Calibri" w:hAnsi="Calibri"/>
          <w:rFonts w:ascii="Calibri" w:hAnsi="Calibri" w:cs="Calibri"/>
          <w:b/>
          <w:i w:val="0"/>
          <w:color w:val="1F3A5F"/>
          <w:sz w:val="20"/>
          <w:caps w:val="true"/>
          <w:spacing w:val="20"/>
        </w:rPr>
        <w:t xml:space="preserve">Turn the dashboard into a mirror  </w:t>
      </w:r>
      <w:r>
        <w:rPr>
          <w:rFonts w:ascii="Calibri" w:hAnsi="Calibri"/>
          <w:rFonts w:ascii="Calibri" w:hAnsi="Calibri" w:cs="Calibri"/>
          <w:b w:val="0"/>
          <w:i/>
          <w:color w:val="222830"/>
          <w:sz w:val="20"/>
        </w:rPr>
        <w:t>Use these numbers to teach, not to punish. When one unit discharges reliably without boarding, the leadership question is not "why aren't the others as good?" but "what does that unit do, and how do we copy it everywhere?"</w:t>
      </w:r>
    </w:p>
    <w:p>
      <w:pPr>
        <w:keepNext/>
        <w:spacing w:before="220" w:after="60"/>
      </w:pPr>
      <w:r>
        <w:rPr>
          <w:rFonts w:ascii="Calibri" w:hAnsi="Calibri"/>
          <w:rFonts w:ascii="Calibri" w:hAnsi="Calibri" w:cs="Calibri"/>
          <w:b/>
          <w:i w:val="0"/>
          <w:color w:val="2C7A7B"/>
          <w:sz w:val="24"/>
        </w:rPr>
        <w:t>Sources referenced in this kit</w:t>
      </w:r>
    </w:p>
    <w:p>
      <w:pPr>
        <w:spacing w:after="40"/>
        <w:ind w:left="280" w:hanging="280"/>
      </w:pPr>
      <w:r>
        <w:rPr>
          <w:rFonts w:ascii="Calibri" w:hAnsi="Calibri"/>
          <w:rFonts w:ascii="Calibri" w:hAnsi="Calibri" w:cs="Calibri"/>
          <w:b w:val="0"/>
          <w:i w:val="0"/>
          <w:color w:val="5A636E"/>
          <w:sz w:val="17"/>
        </w:rPr>
        <w:t>Asplin BR, et al. A conceptual model of emergency department crowding. Ann Emerg Med. 2003;42(2):173-180.</w:t>
      </w:r>
    </w:p>
    <w:p>
      <w:pPr>
        <w:spacing w:after="40"/>
        <w:ind w:left="280" w:hanging="280"/>
      </w:pPr>
      <w:r>
        <w:rPr>
          <w:rFonts w:ascii="Calibri" w:hAnsi="Calibri"/>
          <w:rFonts w:ascii="Calibri" w:hAnsi="Calibri" w:cs="Calibri"/>
          <w:b w:val="0"/>
          <w:i w:val="0"/>
          <w:color w:val="5A636E"/>
          <w:sz w:val="17"/>
        </w:rPr>
        <w:t>Singer AJ, et al. The association between length of emergency department boarding and mortality. Acad Emerg Med. 2011;18(12):1324-1329.</w:t>
      </w:r>
    </w:p>
    <w:p>
      <w:pPr>
        <w:spacing w:after="40"/>
        <w:ind w:left="280" w:hanging="280"/>
      </w:pPr>
      <w:r>
        <w:rPr>
          <w:rFonts w:ascii="Calibri" w:hAnsi="Calibri"/>
          <w:rFonts w:ascii="Calibri" w:hAnsi="Calibri" w:cs="Calibri"/>
          <w:b w:val="0"/>
          <w:i w:val="0"/>
          <w:color w:val="5A636E"/>
          <w:sz w:val="17"/>
        </w:rPr>
        <w:t>Madsen F, et al. High levels of bed occupancy associated with increased inpatient and thirty-day hospital mortality in Denmark. Health Aff (Millwood). 2014;33(7):1236-1244.</w:t>
      </w:r>
    </w:p>
    <w:p>
      <w:pPr>
        <w:spacing w:after="40"/>
        <w:ind w:left="280" w:hanging="280"/>
      </w:pPr>
      <w:r>
        <w:rPr>
          <w:rFonts w:ascii="Calibri" w:hAnsi="Calibri"/>
          <w:rFonts w:ascii="Calibri" w:hAnsi="Calibri" w:cs="Calibri"/>
          <w:b w:val="0"/>
          <w:i w:val="0"/>
          <w:color w:val="5A636E"/>
          <w:sz w:val="17"/>
        </w:rPr>
        <w:t>Green LV. Queueing analysis in healthcare. In: Hall RW, ed. Patient Flow: Reducing Delay in Healthcare Delivery. Springer; 2006:281-307.</w:t>
      </w:r>
    </w:p>
    <w:sectPr w:rsidR="00FC693F" w:rsidRPr="0006063C" w:rsidSect="00034616">
      <w:footerReference w:type="default" r:id="rId9"/>
      <w:pgSz w:w="12240" w:h="15840"/>
      <w:pgMar w:top="1224" w:right="1224" w:bottom="1152" w:left="1224" w:header="720"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jc w:val="center"/>
      <w:pBdr>
        <w:top w:val="single" w:sz="6" w:space="6" w:color="2C7A7B"/>
      </w:pBdr>
    </w:pPr>
    <w:r>
      <w:rPr>
        <w:rFonts w:ascii="Calibri" w:hAnsi="Calibri"/>
        <w:rFonts w:ascii="Calibri" w:hAnsi="Calibri" w:cs="Calibri"/>
        <w:b w:val="0"/>
        <w:i w:val="0"/>
        <w:color w:val="5A636E"/>
        <w:sz w:val="16"/>
      </w:rPr>
      <w:t>The 12 Laws of Healthcare Operations — Shane Welter  ·  companion tools at [YourWebsite.com]</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20" w:line="269" w:lineRule="auto"/>
    </w:pPr>
    <w:rPr>
      <w:rFonts w:ascii="Calibri" w:hAnsi="Calibri"/>
      <w:color w:val="222830"/>
      <w:sz w:val="21"/>
      <w:rFonts w:ascii="Calibri" w:hAnsi="Calibri" w:cs="Calibri"/>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